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548dd4"/>
          <w:sz w:val="24"/>
          <w:szCs w:val="24"/>
          <w:highlight w:val="whit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Совета Синтеза Подразделения ИВДИВО Днепр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Протокол Совета от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03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.0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Согласовано Глава Совета Синтеза ИВО Соколовой Л.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Участвовали: 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1. Соколова Л.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2. Шинкаренко Т.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3. Тимошенко А.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Состоялось: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1.Вхождение в Совет Синтеза ИВО</w:t>
        <w:br w:type="textWrapping"/>
        <w:t xml:space="preserve">2.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Новый План Синтеза подразделения новым плато ИВДИВО.</w:t>
        <w:br w:type="textWrapping"/>
        <w:t xml:space="preserve">- Вхождение в Пламя ИВО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3. Рассмотрение рекомендации к Совету Синтеза ИВО ДП: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- 1 марта чат с Главой ИВДИВО. 32-х ядерная Монада самоосуществления и 32 Ядра КХ Учения Синтеза </w:t>
        <w:br w:type="textWrapping"/>
        <w:t xml:space="preserve">-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Явление 91-ричной синтезфизичности</w:t>
        <w:br w:type="textWrapping"/>
        <w:t xml:space="preserve">- 82 Синтез ИВО . 1024 Части и тело самоосуществления 32 Мирами </w:t>
        <w:br w:type="textWrapping"/>
        <w:t xml:space="preserve">- Р3 ИВДИВО п.21. 16-рица личной самостоятельной подготовки ДП.</w:t>
        <w:br w:type="textWrapping"/>
        <w:t xml:space="preserve">- 116 Синтез ИВО  Расширение границ ИВДИВО на 17 млрд. Оболочками Живого Огня. </w:t>
        <w:br w:type="textWrapping"/>
        <w:t xml:space="preserve">-  64 эволюции и 64 практики ИВДИВО-развития</w:t>
        <w:br w:type="textWrapping"/>
        <w:t xml:space="preserve">- 4 Пути ДП и 4 ричность Хум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11.03.26 Ведёт Владычица Синтеза ИВО ТШ</w:t>
        <w:br w:type="textWrapping"/>
        <w:t xml:space="preserve">4. Обсуждение темы: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Преодоление причинно следственной зависимости ракурсом территории Служения.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Стяжен Синтез ИВО на следующий месяц синтездеятельности.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Задачи: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 Тезисы и статьи о Части ДП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 Подготовка к проведению Подготовительного курса Синтеза ИВО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-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Формирование текста сборника Философа Синтеза написанием статей и тезисов ДП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Станца: 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Служение содержанием Эталонных Эманаций ИВ</w:t>
        <w:br w:type="textWrapping"/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Составила ИВДИВО Секретарь  протокольного  синтеза  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